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left"/>
        <w:rPr>
          <w:rFonts w:ascii="方正黑体_GBK" w:hAnsi="仿宋" w:eastAsia="方正黑体_GBK" w:cs="黑体"/>
          <w:color w:val="000000"/>
          <w:sz w:val="30"/>
          <w:szCs w:val="30"/>
        </w:rPr>
      </w:pPr>
      <w:r>
        <w:rPr>
          <w:rFonts w:hint="eastAsia" w:ascii="方正黑体_GBK" w:hAnsi="仿宋" w:eastAsia="方正黑体_GBK" w:cs="黑体"/>
          <w:color w:val="000000"/>
          <w:sz w:val="30"/>
          <w:szCs w:val="30"/>
        </w:rPr>
        <w:t>附件1</w:t>
      </w:r>
    </w:p>
    <w:p>
      <w:pPr>
        <w:spacing w:line="720" w:lineRule="exact"/>
        <w:jc w:val="center"/>
        <w:rPr>
          <w:rFonts w:hint="default" w:ascii="方正小标宋_GBK" w:hAnsi="方正小标宋_GBK" w:eastAsia="等线" w:cs="方正小标宋_GBK"/>
          <w:color w:val="000000"/>
          <w:sz w:val="32"/>
          <w:szCs w:val="32"/>
          <w:lang w:val="en-US" w:eastAsia="zh-CN"/>
        </w:rPr>
      </w:pPr>
      <w:bookmarkStart w:id="3" w:name="_GoBack"/>
      <w:r>
        <w:rPr>
          <w:rFonts w:hint="eastAsia" w:ascii="等线" w:hAnsi="等线" w:eastAsia="等线" w:cs="仿宋"/>
          <w:bCs/>
          <w:color w:val="000000"/>
          <w:kern w:val="0"/>
          <w:sz w:val="30"/>
          <w:szCs w:val="30"/>
        </w:rPr>
        <w:t>安庆职业技术学院2022-2023学年教师教学能力比赛</w:t>
      </w:r>
      <w:r>
        <w:rPr>
          <w:rFonts w:hint="eastAsia" w:ascii="等线" w:hAnsi="等线" w:eastAsia="等线" w:cs="仿宋"/>
          <w:bCs/>
          <w:color w:val="000000"/>
          <w:spacing w:val="-6"/>
          <w:kern w:val="0"/>
          <w:sz w:val="30"/>
          <w:szCs w:val="30"/>
        </w:rPr>
        <w:t>方案</w:t>
      </w:r>
      <w:r>
        <w:rPr>
          <w:rFonts w:hint="eastAsia" w:ascii="等线" w:hAnsi="等线" w:eastAsia="等线" w:cs="仿宋"/>
          <w:bCs/>
          <w:color w:val="000000"/>
          <w:spacing w:val="-6"/>
          <w:kern w:val="0"/>
          <w:sz w:val="30"/>
          <w:szCs w:val="30"/>
          <w:lang w:eastAsia="zh-CN"/>
        </w:rPr>
        <w:t>（</w:t>
      </w:r>
      <w:r>
        <w:rPr>
          <w:rFonts w:hint="eastAsia" w:ascii="等线" w:hAnsi="等线" w:eastAsia="等线" w:cs="仿宋"/>
          <w:bCs/>
          <w:color w:val="000000"/>
          <w:spacing w:val="-6"/>
          <w:kern w:val="0"/>
          <w:sz w:val="30"/>
          <w:szCs w:val="30"/>
          <w:lang w:val="en-US" w:eastAsia="zh-CN"/>
        </w:rPr>
        <w:t>初稿）</w:t>
      </w:r>
    </w:p>
    <w:bookmarkEnd w:id="3"/>
    <w:p>
      <w:pPr>
        <w:overflowPunct w:val="0"/>
        <w:spacing w:line="500" w:lineRule="exact"/>
        <w:ind w:firstLine="720" w:firstLineChars="200"/>
        <w:outlineLvl w:val="0"/>
        <w:rPr>
          <w:rFonts w:ascii="仿宋" w:hAnsi="仿宋" w:eastAsia="仿宋" w:cs="微软雅黑"/>
          <w:bCs/>
          <w:color w:val="000000"/>
          <w:sz w:val="36"/>
          <w:szCs w:val="36"/>
        </w:rPr>
      </w:pPr>
    </w:p>
    <w:p>
      <w:pPr>
        <w:keepNext w:val="0"/>
        <w:keepLines w:val="0"/>
        <w:pageBreakBefore w:val="0"/>
        <w:widowControl w:val="0"/>
        <w:kinsoku/>
        <w:wordWrap/>
        <w:overflowPunct w:val="0"/>
        <w:topLinePunct w:val="0"/>
        <w:bidi w:val="0"/>
        <w:spacing w:line="560" w:lineRule="exact"/>
        <w:ind w:firstLine="600" w:firstLineChars="200"/>
        <w:textAlignment w:val="auto"/>
        <w:outlineLvl w:val="0"/>
        <w:rPr>
          <w:rFonts w:ascii="仿宋" w:hAnsi="仿宋" w:eastAsia="仿宋" w:cs="黑体"/>
          <w:b/>
          <w:color w:val="000000"/>
          <w:sz w:val="30"/>
          <w:szCs w:val="30"/>
        </w:rPr>
      </w:pPr>
      <w:r>
        <w:rPr>
          <w:rFonts w:hint="eastAsia" w:ascii="黑体" w:hAnsi="黑体" w:eastAsia="黑体" w:cs="黑体"/>
          <w:sz w:val="30"/>
          <w:szCs w:val="30"/>
        </w:rPr>
        <w:t>一、指导思想</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color w:val="000000"/>
          <w:sz w:val="30"/>
          <w:szCs w:val="30"/>
        </w:rPr>
      </w:pPr>
      <w:r>
        <w:rPr>
          <w:rFonts w:ascii="仿宋" w:hAnsi="仿宋" w:eastAsia="仿宋"/>
          <w:sz w:val="30"/>
          <w:szCs w:val="30"/>
        </w:rPr>
        <w:t>深入贯彻习近平总书记关于职业教育工作的重要指示和全国职业教育大会精神，落实《职业教育法》《关于推动现代职业教育高质量发展的意见》《深化新时代教育评价改革总体方案》《国家职业教育改革实施方案》等部署，</w:t>
      </w:r>
      <w:r>
        <w:rPr>
          <w:rFonts w:hint="eastAsia" w:ascii="仿宋" w:hAnsi="仿宋" w:eastAsia="仿宋"/>
          <w:sz w:val="30"/>
          <w:szCs w:val="30"/>
        </w:rPr>
        <w:t>坚持“</w:t>
      </w:r>
      <w:r>
        <w:rPr>
          <w:rFonts w:ascii="仿宋" w:hAnsi="仿宋" w:eastAsia="仿宋"/>
          <w:sz w:val="30"/>
          <w:szCs w:val="30"/>
        </w:rPr>
        <w:t>以赛促教、以赛促学、以赛促研、以赛促改</w:t>
      </w:r>
      <w:r>
        <w:rPr>
          <w:rFonts w:hint="eastAsia" w:ascii="仿宋" w:hAnsi="仿宋" w:eastAsia="仿宋"/>
          <w:sz w:val="30"/>
          <w:szCs w:val="30"/>
        </w:rPr>
        <w:t>”的总体思路，坚持围绕立德树人根本任务，构建“三全育人”体系，深化“课程思政”建设；积极探索“岗课赛证”融合育人模式，创新发展线上线下混合式教学模式；持续深化教师、教材、教法“三教改革”，促进教师教学团队建设，推动示范性教学，促进“能说会做”的“双师型”教师成长。</w:t>
      </w:r>
    </w:p>
    <w:p>
      <w:pPr>
        <w:keepNext w:val="0"/>
        <w:keepLines w:val="0"/>
        <w:pageBreakBefore w:val="0"/>
        <w:widowControl w:val="0"/>
        <w:kinsoku/>
        <w:wordWrap/>
        <w:overflowPunct w:val="0"/>
        <w:topLinePunct w:val="0"/>
        <w:bidi w:val="0"/>
        <w:spacing w:line="560" w:lineRule="exact"/>
        <w:ind w:firstLine="600" w:firstLineChars="200"/>
        <w:textAlignment w:val="auto"/>
        <w:outlineLvl w:val="0"/>
        <w:rPr>
          <w:rFonts w:ascii="仿宋" w:hAnsi="仿宋" w:eastAsia="仿宋" w:cs="黑体"/>
          <w:b/>
          <w:color w:val="000000"/>
          <w:sz w:val="30"/>
          <w:szCs w:val="30"/>
        </w:rPr>
      </w:pPr>
      <w:r>
        <w:rPr>
          <w:rFonts w:hint="eastAsia" w:ascii="黑体" w:hAnsi="黑体" w:eastAsia="黑体" w:cs="黑体"/>
          <w:sz w:val="30"/>
          <w:szCs w:val="30"/>
        </w:rPr>
        <w:t>二、比赛要求</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sz w:val="30"/>
          <w:szCs w:val="30"/>
        </w:rPr>
      </w:pPr>
      <w:r>
        <w:rPr>
          <w:rFonts w:hint="eastAsia" w:ascii="仿宋" w:hAnsi="仿宋" w:eastAsia="仿宋"/>
          <w:sz w:val="30"/>
          <w:szCs w:val="30"/>
        </w:rPr>
        <w:t>重</w:t>
      </w:r>
      <w:r>
        <w:rPr>
          <w:rFonts w:ascii="仿宋" w:hAnsi="仿宋" w:eastAsia="仿宋"/>
          <w:sz w:val="30"/>
          <w:szCs w:val="30"/>
        </w:rPr>
        <w:t>点考察教学团队（2-4 人）针对某门课程中部分教学内容完成教学设计、实施课堂教学、达成教学目标、进行反思改进的能力。</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教学内容。根据职业教育国家教学标准要求，对接职业标准（规范）、职业技能等级标准等，优化课程结构、更新教学内容，契合层次定位。公共基础课程内容应体现思想性、科学性、基础性、职业性、时代性，体现学科知识与行业应用场景的融合，坚持用习近平新时代中国特色社会主义思想铸魂育人，突出职业教育特色，进一步拓展教学内容深度和广度。专业（技能）课程内容应对接新产业、新业态、新模式、新职业，体现专业升级和数字化转型、绿色化改造。结合教学实际融入科学精神、工程思维和创新意识，注重劳动精神、工匠精神、劳模精神培育。</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sz w:val="30"/>
          <w:szCs w:val="30"/>
        </w:rPr>
      </w:pPr>
      <w:r>
        <w:rPr>
          <w:rFonts w:ascii="仿宋" w:hAnsi="仿宋" w:eastAsia="仿宋"/>
          <w:sz w:val="30"/>
          <w:szCs w:val="30"/>
        </w:rPr>
        <w:t>2.</w:t>
      </w:r>
      <w:bookmarkStart w:id="0" w:name="_Hlk44541221"/>
      <w:r>
        <w:rPr>
          <w:rFonts w:hint="eastAsia" w:ascii="仿宋" w:hAnsi="仿宋" w:eastAsia="仿宋"/>
          <w:sz w:val="30"/>
          <w:szCs w:val="30"/>
        </w:rPr>
        <w:t>教学</w:t>
      </w:r>
      <w:bookmarkEnd w:id="0"/>
      <w:r>
        <w:rPr>
          <w:rFonts w:hint="eastAsia" w:ascii="仿宋" w:hAnsi="仿宋" w:eastAsia="仿宋"/>
          <w:sz w:val="30"/>
          <w:szCs w:val="30"/>
        </w:rPr>
        <w:t>设计。依据国家教学标准、学校专业人才培养方案和课程标准，针对参赛教学内容，进行学情分析，确定教学目标，优化教学过程。针对不同生源分类施教、因材施教。合理运用平台、技术、方法和资源等组织课堂教学。思想政治课以“八个统一”为统领，优化教学过程，增强思政课教学的吸引力、说服力、感染力。提高课程思政内涵融入课堂教学的水平，杜绝各种形式主义。专业（技能）课程鼓励按照生产实际和岗位需求设计模块化课程，强化工学结合、理实一体、手脑并用，实施项目式、任务式、案例式、情景化教学等。</w:t>
      </w:r>
    </w:p>
    <w:p>
      <w:pPr>
        <w:keepNext w:val="0"/>
        <w:keepLines w:val="0"/>
        <w:pageBreakBefore w:val="0"/>
        <w:widowControl w:val="0"/>
        <w:kinsoku/>
        <w:wordWrap/>
        <w:topLinePunct w:val="0"/>
        <w:autoSpaceDE w:val="0"/>
        <w:autoSpaceDN w:val="0"/>
        <w:bidi w:val="0"/>
        <w:adjustRightInd w:val="0"/>
        <w:spacing w:line="560" w:lineRule="exact"/>
        <w:ind w:firstLine="600" w:firstLineChars="200"/>
        <w:jc w:val="left"/>
        <w:textAlignment w:val="auto"/>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教学实施</w:t>
      </w:r>
      <w:bookmarkStart w:id="1" w:name="_Hlk37411083"/>
      <w:r>
        <w:rPr>
          <w:rFonts w:hint="eastAsia" w:ascii="仿宋" w:hAnsi="仿宋" w:eastAsia="仿宋"/>
          <w:sz w:val="30"/>
          <w:szCs w:val="30"/>
        </w:rPr>
        <w:t>。</w:t>
      </w:r>
      <w:bookmarkEnd w:id="1"/>
      <w:r>
        <w:rPr>
          <w:rFonts w:hint="eastAsia" w:ascii="仿宋" w:hAnsi="仿宋" w:eastAsia="仿宋"/>
          <w:sz w:val="30"/>
          <w:szCs w:val="30"/>
        </w:rPr>
        <w:t>教学实施应注重实效性，突出教学重点难点的解决方法和策略，开展师生、生生的有效互动，推动深度学习，采用现代信息技术收集教学过程真实数据，并根据反映出的问题适时调整教学策略。专业（技能）课程应注意引入典型生产案例；实习实训应落实职业学校学生实习管理规定、岗位实习标准、实训教学条件建设标准等，教师规范操作、有效示教，提高学生基于任务（项目）分析问题、解决问题的能力。根据需要合理创设数字化学习和实习实训情境，运用数字化教学资源。思想政治课教材选用应符合教育部有关规定，其他课程按照《职业院校教材管理办法》要求规范选用教材，优先选用国家和省级规划教材，鼓励使用新型活页式、工作手册式教材。</w:t>
      </w:r>
    </w:p>
    <w:p>
      <w:pPr>
        <w:keepNext w:val="0"/>
        <w:keepLines w:val="0"/>
        <w:pageBreakBefore w:val="0"/>
        <w:widowControl w:val="0"/>
        <w:kinsoku/>
        <w:wordWrap/>
        <w:topLinePunct w:val="0"/>
        <w:autoSpaceDE w:val="0"/>
        <w:autoSpaceDN w:val="0"/>
        <w:bidi w:val="0"/>
        <w:adjustRightInd w:val="0"/>
        <w:spacing w:line="560" w:lineRule="exact"/>
        <w:ind w:firstLine="600" w:firstLineChars="200"/>
        <w:jc w:val="left"/>
        <w:textAlignment w:val="auto"/>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教学评价。持续开展教学诊断与改进，注重过程评价与结果评价相结合，探索增值评价、健全综合评价，关注育人成效、检验教学质量，促进学生全面成长。鼓励运用大数据、人工智能等现代信息技术开展教与学行为的精准分析，个性化评价学生的学习成果和学习成效。思想政治课还应注重综合考核学生的思想政治素质和学科核心素养培养情况。</w:t>
      </w:r>
    </w:p>
    <w:p>
      <w:pPr>
        <w:keepNext w:val="0"/>
        <w:keepLines w:val="0"/>
        <w:pageBreakBefore w:val="0"/>
        <w:widowControl w:val="0"/>
        <w:kinsoku/>
        <w:wordWrap/>
        <w:topLinePunct w:val="0"/>
        <w:autoSpaceDE w:val="0"/>
        <w:autoSpaceDN w:val="0"/>
        <w:bidi w:val="0"/>
        <w:adjustRightInd w:val="0"/>
        <w:spacing w:line="560" w:lineRule="exact"/>
        <w:ind w:firstLine="600" w:firstLineChars="200"/>
        <w:jc w:val="left"/>
        <w:textAlignment w:val="auto"/>
        <w:rPr>
          <w:rFonts w:ascii="仿宋" w:hAnsi="仿宋" w:eastAsia="仿宋"/>
          <w:sz w:val="30"/>
          <w:szCs w:val="30"/>
        </w:rPr>
      </w:pPr>
      <w:r>
        <w:rPr>
          <w:rFonts w:ascii="仿宋" w:hAnsi="仿宋" w:eastAsia="仿宋"/>
          <w:sz w:val="30"/>
          <w:szCs w:val="30"/>
        </w:rPr>
        <w:t>5.</w:t>
      </w:r>
      <w:r>
        <w:rPr>
          <w:rFonts w:hint="eastAsia" w:ascii="仿宋" w:hAnsi="仿宋" w:eastAsia="仿宋"/>
          <w:sz w:val="30"/>
          <w:szCs w:val="30"/>
        </w:rPr>
        <w:t>教学反思。深度思考在教学设计、教学实施、教学评价过程中的经验与不足，总结在更新教育理念、落实课程思政、优化教学内容、创新教学模式、转变教师角色、改进教学评价、运用信息技术等方面的改革与创新，做到设计理念、教学实施、育人成效的有机统一，成为传道授业解惑赋能的“大先生”</w:t>
      </w:r>
      <w:r>
        <w:rPr>
          <w:rFonts w:hint="eastAsia" w:ascii="仿宋_GB2312" w:eastAsia="仿宋_GB2312" w:cs="仿宋_GB2312"/>
          <w:kern w:val="0"/>
          <w:sz w:val="32"/>
          <w:szCs w:val="32"/>
        </w:rPr>
        <w:t>。</w:t>
      </w:r>
    </w:p>
    <w:p>
      <w:pPr>
        <w:keepNext w:val="0"/>
        <w:keepLines w:val="0"/>
        <w:pageBreakBefore w:val="0"/>
        <w:widowControl w:val="0"/>
        <w:kinsoku/>
        <w:wordWrap/>
        <w:overflowPunct w:val="0"/>
        <w:topLinePunct w:val="0"/>
        <w:bidi w:val="0"/>
        <w:spacing w:line="560" w:lineRule="exact"/>
        <w:ind w:firstLine="600" w:firstLineChars="200"/>
        <w:textAlignment w:val="auto"/>
        <w:outlineLvl w:val="0"/>
        <w:rPr>
          <w:rFonts w:ascii="仿宋" w:hAnsi="仿宋" w:eastAsia="仿宋" w:cs="黑体"/>
          <w:b/>
          <w:color w:val="000000"/>
          <w:sz w:val="30"/>
          <w:szCs w:val="30"/>
        </w:rPr>
      </w:pPr>
      <w:r>
        <w:rPr>
          <w:rFonts w:hint="eastAsia" w:ascii="黑体" w:hAnsi="黑体" w:eastAsia="黑体" w:cs="黑体"/>
          <w:sz w:val="30"/>
          <w:szCs w:val="30"/>
        </w:rPr>
        <w:t>三、参赛作品及材料</w:t>
      </w:r>
    </w:p>
    <w:p>
      <w:pPr>
        <w:keepNext w:val="0"/>
        <w:keepLines w:val="0"/>
        <w:pageBreakBefore w:val="0"/>
        <w:widowControl w:val="0"/>
        <w:kinsoku/>
        <w:wordWrap/>
        <w:overflowPunct w:val="0"/>
        <w:topLinePunct w:val="0"/>
        <w:bidi w:val="0"/>
        <w:spacing w:line="560" w:lineRule="exact"/>
        <w:ind w:firstLine="600" w:firstLineChars="200"/>
        <w:textAlignment w:val="auto"/>
        <w:outlineLvl w:val="1"/>
        <w:rPr>
          <w:rFonts w:ascii="仿宋" w:hAnsi="仿宋" w:eastAsia="仿宋"/>
          <w:sz w:val="30"/>
          <w:szCs w:val="30"/>
        </w:rPr>
      </w:pPr>
      <w:r>
        <w:rPr>
          <w:rFonts w:hint="eastAsia" w:ascii="仿宋" w:hAnsi="仿宋" w:eastAsia="仿宋"/>
          <w:sz w:val="30"/>
          <w:szCs w:val="30"/>
        </w:rPr>
        <w:t>1.教学团队选取某门课程在一个学期中符合要求的教学任务作为参赛作品，完成教学设计，实施课堂教学。教学内容要符合教育部印发的职业教育国家教学标准中的有关要求，</w:t>
      </w:r>
      <w:bookmarkStart w:id="2" w:name="_Hlk37411329"/>
      <w:bookmarkEnd w:id="2"/>
      <w:r>
        <w:rPr>
          <w:rFonts w:hint="eastAsia" w:ascii="仿宋" w:hAnsi="仿宋" w:eastAsia="仿宋"/>
          <w:sz w:val="30"/>
          <w:szCs w:val="30"/>
        </w:rPr>
        <w:t>鼓励推荐落实公共基础课程标准、推进1+X证书制度试点、针对高职扩招生源特点创新教学模式、实施线上线下混合式教学且效果好的作品参赛。</w:t>
      </w:r>
    </w:p>
    <w:p>
      <w:pPr>
        <w:keepNext w:val="0"/>
        <w:keepLines w:val="0"/>
        <w:pageBreakBefore w:val="0"/>
        <w:widowControl w:val="0"/>
        <w:kinsoku/>
        <w:wordWrap/>
        <w:overflowPunct w:val="0"/>
        <w:topLinePunct w:val="0"/>
        <w:bidi w:val="0"/>
        <w:spacing w:line="560" w:lineRule="exact"/>
        <w:ind w:firstLine="600" w:firstLineChars="200"/>
        <w:textAlignment w:val="auto"/>
        <w:outlineLvl w:val="1"/>
        <w:rPr>
          <w:rFonts w:ascii="仿宋" w:hAnsi="仿宋" w:eastAsia="仿宋"/>
          <w:color w:val="080808"/>
          <w:sz w:val="30"/>
          <w:szCs w:val="30"/>
        </w:rPr>
      </w:pPr>
      <w:r>
        <w:rPr>
          <w:rFonts w:hint="eastAsia" w:ascii="仿宋" w:hAnsi="仿宋" w:eastAsia="仿宋"/>
          <w:sz w:val="30"/>
          <w:szCs w:val="30"/>
        </w:rPr>
        <w:t>2.</w:t>
      </w:r>
      <w:r>
        <w:rPr>
          <w:rFonts w:ascii="仿宋" w:hAnsi="仿宋" w:eastAsia="仿宋"/>
          <w:color w:val="080808"/>
          <w:sz w:val="30"/>
          <w:szCs w:val="30"/>
        </w:rPr>
        <w:t>公共基础课程要处理好课程核心素养与专业融通的问题；英语、信息技术基础课程仔细研究高等职业教育专科英语、信息技术课程标准（2021年版）；美育类课程需要研究国家有关高校美育教育的相关文件，处理好美育与艺术专业课程的区别。</w:t>
      </w:r>
    </w:p>
    <w:p>
      <w:pPr>
        <w:keepNext w:val="0"/>
        <w:keepLines w:val="0"/>
        <w:pageBreakBefore w:val="0"/>
        <w:widowControl w:val="0"/>
        <w:kinsoku/>
        <w:wordWrap/>
        <w:overflowPunct w:val="0"/>
        <w:topLinePunct w:val="0"/>
        <w:bidi w:val="0"/>
        <w:spacing w:line="560" w:lineRule="exact"/>
        <w:ind w:firstLine="600" w:firstLineChars="200"/>
        <w:textAlignment w:val="auto"/>
        <w:outlineLvl w:val="1"/>
        <w:rPr>
          <w:rFonts w:ascii="仿宋" w:hAnsi="仿宋" w:eastAsia="仿宋"/>
          <w:color w:val="000000"/>
          <w:sz w:val="30"/>
          <w:szCs w:val="30"/>
        </w:rPr>
      </w:pPr>
      <w:r>
        <w:rPr>
          <w:rFonts w:hint="eastAsia" w:ascii="仿宋" w:hAnsi="仿宋" w:eastAsia="仿宋"/>
          <w:color w:val="080808"/>
          <w:sz w:val="30"/>
          <w:szCs w:val="30"/>
        </w:rPr>
        <w:t>3.参赛作品为公共基础课程（含思想政治理论课）中不少于12学时连续、完整的教学内容；或为专业基础课程、专业核心课程或专业拓展课程中不少于16学时连续、完整的教学内容；或为专业实训课程中不少于16学时连续、完整的以实践教学为主的教学内容或专周实习实训、岗位实习等实践环节教学内容，其中体现教师实操演示与指导的内容不少于8学时。</w:t>
      </w:r>
    </w:p>
    <w:p>
      <w:pPr>
        <w:keepNext w:val="0"/>
        <w:keepLines w:val="0"/>
        <w:pageBreakBefore w:val="0"/>
        <w:widowControl w:val="0"/>
        <w:kinsoku/>
        <w:wordWrap/>
        <w:overflowPunct w:val="0"/>
        <w:topLinePunct w:val="0"/>
        <w:bidi w:val="0"/>
        <w:spacing w:line="560" w:lineRule="exact"/>
        <w:ind w:firstLine="600" w:firstLineChars="200"/>
        <w:textAlignment w:val="auto"/>
        <w:outlineLvl w:val="1"/>
        <w:rPr>
          <w:rFonts w:ascii="仿宋" w:hAnsi="仿宋" w:eastAsia="仿宋"/>
          <w:sz w:val="30"/>
          <w:szCs w:val="30"/>
        </w:rPr>
      </w:pPr>
      <w:r>
        <w:rPr>
          <w:rFonts w:hint="eastAsia" w:ascii="仿宋" w:hAnsi="仿宋" w:eastAsia="仿宋"/>
          <w:color w:val="000000"/>
          <w:sz w:val="30"/>
          <w:szCs w:val="30"/>
        </w:rPr>
        <w:t>4.</w:t>
      </w:r>
      <w:r>
        <w:rPr>
          <w:rFonts w:hint="eastAsia" w:ascii="仿宋" w:hAnsi="仿宋" w:eastAsia="仿宋"/>
          <w:sz w:val="30"/>
          <w:szCs w:val="30"/>
        </w:rPr>
        <w:t>参赛作品材料包括专业人才培养方案、课程标准、教案、教学实施报告和教材选用程序说明等文档资料，以及课堂教学实录和课堂教学片段等视频资料。</w:t>
      </w:r>
    </w:p>
    <w:p>
      <w:pPr>
        <w:keepNext w:val="0"/>
        <w:keepLines w:val="0"/>
        <w:pageBreakBefore w:val="0"/>
        <w:widowControl w:val="0"/>
        <w:kinsoku/>
        <w:wordWrap/>
        <w:topLinePunct w:val="0"/>
        <w:bidi w:val="0"/>
        <w:adjustRightInd w:val="0"/>
        <w:snapToGrid w:val="0"/>
        <w:spacing w:line="560" w:lineRule="exact"/>
        <w:ind w:firstLine="600" w:firstLineChars="200"/>
        <w:textAlignment w:val="auto"/>
        <w:rPr>
          <w:rFonts w:ascii="仿宋" w:hAnsi="仿宋" w:eastAsia="仿宋"/>
          <w:b/>
          <w:color w:val="080808"/>
          <w:sz w:val="30"/>
          <w:szCs w:val="30"/>
        </w:rPr>
      </w:pPr>
      <w:r>
        <w:rPr>
          <w:rFonts w:hint="eastAsia" w:ascii="黑体" w:hAnsi="黑体" w:eastAsia="黑体" w:cs="黑体"/>
          <w:sz w:val="30"/>
          <w:szCs w:val="30"/>
        </w:rPr>
        <w:t>四、比赛安排</w:t>
      </w:r>
    </w:p>
    <w:p>
      <w:pPr>
        <w:keepNext w:val="0"/>
        <w:keepLines w:val="0"/>
        <w:pageBreakBefore w:val="0"/>
        <w:widowControl w:val="0"/>
        <w:kinsoku/>
        <w:wordWrap/>
        <w:topLinePunct w:val="0"/>
        <w:bidi w:val="0"/>
        <w:adjustRightInd w:val="0"/>
        <w:snapToGrid w:val="0"/>
        <w:spacing w:line="560" w:lineRule="exact"/>
        <w:ind w:firstLine="600" w:firstLineChars="200"/>
        <w:textAlignment w:val="auto"/>
        <w:rPr>
          <w:rFonts w:ascii="仿宋" w:hAnsi="仿宋" w:eastAsia="仿宋"/>
          <w:color w:val="080808"/>
          <w:sz w:val="30"/>
          <w:szCs w:val="30"/>
        </w:rPr>
      </w:pPr>
      <w:r>
        <w:rPr>
          <w:rFonts w:hint="eastAsia" w:ascii="仿宋" w:hAnsi="仿宋" w:eastAsia="仿宋"/>
          <w:color w:val="080808"/>
          <w:sz w:val="30"/>
          <w:szCs w:val="30"/>
        </w:rPr>
        <w:t>1.院部初赛阶段：2022年10月-11月。各院部根据工作实际，结合期中教学检查，进行院部初赛选拔（初赛形式由各院部自行决定），选出具有扎实专业知识、深厚教学能力、良好信息素养与教学影响力的参赛教师。结合本院部专业优势和课程特色，统筹安排，优化组合参赛团队。指导参赛团队仔细研究课程内容，确定作品方向，完成相应作品材料的准备和制作工作。教务处将对院部初赛工作进行全程监督检查。</w:t>
      </w:r>
    </w:p>
    <w:p>
      <w:pPr>
        <w:keepNext w:val="0"/>
        <w:keepLines w:val="0"/>
        <w:pageBreakBefore w:val="0"/>
        <w:widowControl w:val="0"/>
        <w:kinsoku/>
        <w:wordWrap/>
        <w:topLinePunct w:val="0"/>
        <w:bidi w:val="0"/>
        <w:adjustRightInd w:val="0"/>
        <w:snapToGrid w:val="0"/>
        <w:spacing w:line="560" w:lineRule="exact"/>
        <w:ind w:firstLine="600" w:firstLineChars="200"/>
        <w:textAlignment w:val="auto"/>
        <w:rPr>
          <w:rFonts w:ascii="仿宋" w:hAnsi="仿宋" w:eastAsia="仿宋"/>
          <w:color w:val="080808"/>
          <w:sz w:val="30"/>
          <w:szCs w:val="30"/>
        </w:rPr>
      </w:pPr>
      <w:r>
        <w:rPr>
          <w:rFonts w:hint="eastAsia" w:ascii="仿宋" w:hAnsi="仿宋" w:eastAsia="仿宋"/>
          <w:color w:val="080808"/>
          <w:sz w:val="30"/>
          <w:szCs w:val="30"/>
        </w:rPr>
        <w:t>负责部门：各院部</w:t>
      </w:r>
    </w:p>
    <w:p>
      <w:pPr>
        <w:keepNext w:val="0"/>
        <w:keepLines w:val="0"/>
        <w:pageBreakBefore w:val="0"/>
        <w:widowControl w:val="0"/>
        <w:kinsoku/>
        <w:wordWrap/>
        <w:topLinePunct w:val="0"/>
        <w:bidi w:val="0"/>
        <w:adjustRightInd w:val="0"/>
        <w:snapToGrid w:val="0"/>
        <w:spacing w:line="560" w:lineRule="exact"/>
        <w:ind w:firstLine="600" w:firstLineChars="200"/>
        <w:textAlignment w:val="auto"/>
        <w:rPr>
          <w:rFonts w:ascii="仿宋" w:hAnsi="仿宋" w:eastAsia="仿宋"/>
          <w:color w:val="080808"/>
          <w:sz w:val="30"/>
          <w:szCs w:val="30"/>
        </w:rPr>
      </w:pPr>
      <w:r>
        <w:rPr>
          <w:rFonts w:hint="eastAsia" w:ascii="仿宋" w:hAnsi="仿宋" w:eastAsia="仿宋"/>
          <w:color w:val="080808"/>
          <w:sz w:val="30"/>
          <w:szCs w:val="30"/>
        </w:rPr>
        <w:t>2.校级决赛阶段：2022年12月-2023年1月。各院部将推荐参加校级决赛的参赛材料报送教务处，以便统一协调安排决赛时间、地点及相关事宜。采取先网络初评后现场决赛的方式进行，网络初评时评审参赛作品材料，</w:t>
      </w:r>
      <w:r>
        <w:rPr>
          <w:rFonts w:ascii="仿宋" w:hAnsi="仿宋" w:eastAsia="仿宋"/>
          <w:color w:val="080808"/>
          <w:sz w:val="30"/>
          <w:szCs w:val="30"/>
        </w:rPr>
        <w:t>按</w:t>
      </w:r>
      <w:r>
        <w:rPr>
          <w:rFonts w:hint="eastAsia" w:ascii="仿宋" w:hAnsi="仿宋" w:eastAsia="仿宋"/>
          <w:color w:val="080808"/>
          <w:sz w:val="30"/>
          <w:szCs w:val="30"/>
        </w:rPr>
        <w:t>不高于</w:t>
      </w:r>
      <w:r>
        <w:rPr>
          <w:rFonts w:ascii="仿宋" w:hAnsi="仿宋" w:eastAsia="仿宋"/>
          <w:color w:val="080808"/>
          <w:sz w:val="30"/>
          <w:szCs w:val="30"/>
        </w:rPr>
        <w:t>参赛总数60%的比例，</w:t>
      </w:r>
      <w:r>
        <w:rPr>
          <w:rFonts w:hint="eastAsia" w:ascii="仿宋" w:hAnsi="仿宋" w:eastAsia="仿宋"/>
          <w:color w:val="080808"/>
          <w:sz w:val="30"/>
          <w:szCs w:val="30"/>
        </w:rPr>
        <w:t>确定入围决赛作品；现场决赛包括两个环节，一是课堂教学展示，教学团队现场进行课堂教学展示，二是综合素养展示，教学团队现场介绍实施报告、进行教学答辩。综合参赛作品材料和教学团队现场表现，评委综合评分，评出比赛成绩，确定比赛等级。</w:t>
      </w:r>
    </w:p>
    <w:p>
      <w:pPr>
        <w:keepNext w:val="0"/>
        <w:keepLines w:val="0"/>
        <w:pageBreakBefore w:val="0"/>
        <w:widowControl w:val="0"/>
        <w:kinsoku/>
        <w:wordWrap/>
        <w:topLinePunct w:val="0"/>
        <w:bidi w:val="0"/>
        <w:adjustRightInd w:val="0"/>
        <w:snapToGrid w:val="0"/>
        <w:spacing w:line="560" w:lineRule="exact"/>
        <w:ind w:firstLine="600" w:firstLineChars="200"/>
        <w:textAlignment w:val="auto"/>
        <w:rPr>
          <w:rFonts w:ascii="仿宋" w:hAnsi="仿宋" w:eastAsia="仿宋"/>
          <w:color w:val="080808"/>
          <w:sz w:val="30"/>
          <w:szCs w:val="30"/>
        </w:rPr>
      </w:pPr>
      <w:r>
        <w:rPr>
          <w:rFonts w:hint="eastAsia" w:ascii="仿宋" w:hAnsi="仿宋" w:eastAsia="仿宋"/>
          <w:color w:val="080808"/>
          <w:sz w:val="30"/>
          <w:szCs w:val="30"/>
        </w:rPr>
        <w:t>负责部门：教务处</w:t>
      </w:r>
    </w:p>
    <w:p>
      <w:pPr>
        <w:keepNext w:val="0"/>
        <w:keepLines w:val="0"/>
        <w:pageBreakBefore w:val="0"/>
        <w:widowControl w:val="0"/>
        <w:kinsoku/>
        <w:wordWrap/>
        <w:topLinePunct w:val="0"/>
        <w:bidi w:val="0"/>
        <w:spacing w:line="560" w:lineRule="exact"/>
        <w:ind w:firstLine="588" w:firstLineChars="196"/>
        <w:textAlignment w:val="auto"/>
        <w:rPr>
          <w:rFonts w:ascii="仿宋" w:hAnsi="仿宋" w:eastAsia="仿宋" w:cs="黑体"/>
          <w:b/>
          <w:color w:val="000000"/>
          <w:sz w:val="30"/>
          <w:szCs w:val="30"/>
        </w:rPr>
      </w:pPr>
      <w:r>
        <w:rPr>
          <w:rFonts w:hint="eastAsia" w:ascii="黑体" w:hAnsi="黑体" w:eastAsia="黑体" w:cs="黑体"/>
          <w:sz w:val="30"/>
          <w:szCs w:val="30"/>
        </w:rPr>
        <w:t>五、奖励办法</w:t>
      </w:r>
    </w:p>
    <w:p>
      <w:pPr>
        <w:keepNext w:val="0"/>
        <w:keepLines w:val="0"/>
        <w:pageBreakBefore w:val="0"/>
        <w:widowControl w:val="0"/>
        <w:kinsoku/>
        <w:wordWrap/>
        <w:topLinePunct w:val="0"/>
        <w:bidi w:val="0"/>
        <w:spacing w:line="56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w:t>
      </w:r>
      <w:r>
        <w:rPr>
          <w:rFonts w:ascii="仿宋" w:hAnsi="仿宋" w:eastAsia="仿宋" w:cs="仿宋"/>
          <w:color w:val="000000"/>
          <w:sz w:val="30"/>
          <w:szCs w:val="30"/>
        </w:rPr>
        <w:t>.</w:t>
      </w:r>
      <w:r>
        <w:rPr>
          <w:rFonts w:hint="eastAsia" w:ascii="仿宋" w:hAnsi="仿宋" w:eastAsia="仿宋" w:cs="仿宋"/>
          <w:color w:val="000000"/>
          <w:sz w:val="30"/>
          <w:szCs w:val="30"/>
        </w:rPr>
        <w:t>坚持宁缺毋滥的原则，设置一、二</w:t>
      </w:r>
      <w:r>
        <w:rPr>
          <w:rFonts w:hint="eastAsia" w:ascii="仿宋" w:hAnsi="仿宋" w:eastAsia="仿宋" w:cs="仿宋"/>
          <w:b/>
          <w:bCs/>
          <w:color w:val="000000"/>
          <w:sz w:val="30"/>
          <w:szCs w:val="30"/>
        </w:rPr>
        <w:t>、</w:t>
      </w:r>
      <w:r>
        <w:rPr>
          <w:rFonts w:hint="eastAsia" w:ascii="仿宋" w:hAnsi="仿宋" w:eastAsia="仿宋" w:cs="仿宋"/>
          <w:color w:val="000000"/>
          <w:sz w:val="30"/>
          <w:szCs w:val="30"/>
        </w:rPr>
        <w:t>三等奖，原则上分别为不超过参赛作品总数的</w:t>
      </w:r>
      <w:r>
        <w:rPr>
          <w:rFonts w:ascii="仿宋" w:hAnsi="仿宋" w:eastAsia="仿宋" w:cs="仿宋"/>
          <w:color w:val="000000"/>
          <w:sz w:val="30"/>
          <w:szCs w:val="30"/>
        </w:rPr>
        <w:t>1</w:t>
      </w:r>
      <w:r>
        <w:rPr>
          <w:rFonts w:hint="eastAsia" w:ascii="仿宋" w:hAnsi="仿宋" w:eastAsia="仿宋" w:cs="仿宋"/>
          <w:color w:val="000000"/>
          <w:sz w:val="30"/>
          <w:szCs w:val="30"/>
        </w:rPr>
        <w:t>0%、</w:t>
      </w:r>
      <w:r>
        <w:rPr>
          <w:rFonts w:ascii="仿宋" w:hAnsi="仿宋" w:eastAsia="仿宋" w:cs="仿宋"/>
          <w:color w:val="000000"/>
          <w:sz w:val="30"/>
          <w:szCs w:val="30"/>
        </w:rPr>
        <w:t>2</w:t>
      </w:r>
      <w:r>
        <w:rPr>
          <w:rFonts w:hint="eastAsia" w:ascii="仿宋" w:hAnsi="仿宋" w:eastAsia="仿宋" w:cs="仿宋"/>
          <w:color w:val="000000"/>
          <w:sz w:val="30"/>
          <w:szCs w:val="30"/>
        </w:rPr>
        <w:t>0%、3</w:t>
      </w:r>
      <w:r>
        <w:rPr>
          <w:rFonts w:ascii="仿宋" w:hAnsi="仿宋" w:eastAsia="仿宋" w:cs="仿宋"/>
          <w:color w:val="000000"/>
          <w:sz w:val="30"/>
          <w:szCs w:val="30"/>
        </w:rPr>
        <w:t>0</w:t>
      </w:r>
      <w:r>
        <w:rPr>
          <w:rFonts w:hint="eastAsia" w:ascii="仿宋" w:hAnsi="仿宋" w:eastAsia="仿宋" w:cs="仿宋"/>
          <w:color w:val="000000"/>
          <w:sz w:val="30"/>
          <w:szCs w:val="30"/>
        </w:rPr>
        <w:t>%。</w:t>
      </w:r>
    </w:p>
    <w:p>
      <w:pPr>
        <w:keepNext w:val="0"/>
        <w:keepLines w:val="0"/>
        <w:pageBreakBefore w:val="0"/>
        <w:widowControl w:val="0"/>
        <w:kinsoku/>
        <w:wordWrap/>
        <w:topLinePunct w:val="0"/>
        <w:bidi w:val="0"/>
        <w:spacing w:line="56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w:t>
      </w:r>
      <w:r>
        <w:rPr>
          <w:rFonts w:ascii="仿宋" w:hAnsi="仿宋" w:eastAsia="仿宋" w:cs="仿宋"/>
          <w:color w:val="000000"/>
          <w:sz w:val="30"/>
          <w:szCs w:val="30"/>
        </w:rPr>
        <w:t>.</w:t>
      </w:r>
      <w:r>
        <w:rPr>
          <w:rFonts w:hint="eastAsia" w:ascii="仿宋" w:hAnsi="仿宋" w:eastAsia="仿宋" w:cs="仿宋"/>
          <w:color w:val="000000"/>
          <w:sz w:val="30"/>
          <w:szCs w:val="30"/>
        </w:rPr>
        <w:t>将教师获奖情况记入教师业务档案，并可在职称晋升、评优评先中予以倾斜。院部组织参赛情况作为年度绩效考核的依据之一。</w:t>
      </w:r>
    </w:p>
    <w:p>
      <w:pPr>
        <w:keepNext w:val="0"/>
        <w:keepLines w:val="0"/>
        <w:pageBreakBefore w:val="0"/>
        <w:widowControl w:val="0"/>
        <w:kinsoku/>
        <w:wordWrap/>
        <w:topLinePunct w:val="0"/>
        <w:bidi w:val="0"/>
        <w:spacing w:line="560" w:lineRule="exact"/>
        <w:ind w:firstLine="600" w:firstLineChars="200"/>
        <w:textAlignment w:val="auto"/>
        <w:rPr>
          <w:rFonts w:ascii="仿宋" w:hAnsi="仿宋" w:eastAsia="仿宋" w:cs="仿宋"/>
          <w:sz w:val="30"/>
          <w:szCs w:val="30"/>
        </w:rPr>
      </w:pPr>
      <w:r>
        <w:rPr>
          <w:rFonts w:ascii="仿宋" w:hAnsi="仿宋" w:eastAsia="仿宋" w:cs="仿宋"/>
          <w:sz w:val="30"/>
          <w:szCs w:val="30"/>
        </w:rPr>
        <w:t>3.</w:t>
      </w:r>
      <w:r>
        <w:rPr>
          <w:rFonts w:hint="eastAsia" w:ascii="仿宋" w:hAnsi="仿宋" w:eastAsia="仿宋"/>
          <w:color w:val="080808"/>
          <w:sz w:val="30"/>
          <w:szCs w:val="30"/>
        </w:rPr>
        <w:t>根据省赛有关要求和名额分配，遴选优秀作品代表学校参加省赛</w:t>
      </w:r>
      <w:r>
        <w:rPr>
          <w:rFonts w:hint="eastAsia" w:ascii="仿宋" w:hAnsi="仿宋" w:eastAsia="仿宋" w:cs="仿宋"/>
          <w:sz w:val="30"/>
          <w:szCs w:val="30"/>
        </w:rPr>
        <w:t>，没有参加校赛的团队不予推荐参加省赛。</w:t>
      </w:r>
    </w:p>
    <w:p>
      <w:pPr>
        <w:keepNext w:val="0"/>
        <w:keepLines w:val="0"/>
        <w:pageBreakBefore w:val="0"/>
        <w:widowControl w:val="0"/>
        <w:kinsoku/>
        <w:wordWrap/>
        <w:topLinePunct w:val="0"/>
        <w:bidi w:val="0"/>
        <w:spacing w:line="560" w:lineRule="exact"/>
        <w:ind w:firstLine="600" w:firstLineChars="200"/>
        <w:textAlignment w:val="auto"/>
        <w:rPr>
          <w:rFonts w:ascii="仿宋" w:hAnsi="仿宋" w:eastAsia="仿宋" w:cs="黑体"/>
          <w:b/>
          <w:color w:val="000000"/>
          <w:sz w:val="30"/>
          <w:szCs w:val="30"/>
        </w:rPr>
      </w:pPr>
      <w:r>
        <w:rPr>
          <w:rFonts w:hint="eastAsia" w:ascii="黑体" w:hAnsi="黑体" w:eastAsia="黑体" w:cs="黑体"/>
          <w:sz w:val="30"/>
          <w:szCs w:val="30"/>
        </w:rPr>
        <w:t>六、注意事项及说明</w:t>
      </w:r>
    </w:p>
    <w:p>
      <w:pPr>
        <w:keepNext w:val="0"/>
        <w:keepLines w:val="0"/>
        <w:pageBreakBefore w:val="0"/>
        <w:widowControl w:val="0"/>
        <w:kinsoku/>
        <w:wordWrap/>
        <w:topLinePunct w:val="0"/>
        <w:autoSpaceDE w:val="0"/>
        <w:autoSpaceDN w:val="0"/>
        <w:bidi w:val="0"/>
        <w:adjustRightInd w:val="0"/>
        <w:spacing w:line="560" w:lineRule="exact"/>
        <w:ind w:firstLine="600" w:firstLineChars="200"/>
        <w:jc w:val="left"/>
        <w:textAlignment w:val="auto"/>
        <w:rPr>
          <w:rFonts w:ascii="仿宋" w:hAnsi="仿宋" w:eastAsia="仿宋" w:cs="仿宋"/>
          <w:color w:val="000000"/>
          <w:sz w:val="30"/>
          <w:szCs w:val="30"/>
        </w:rPr>
      </w:pPr>
      <w:r>
        <w:rPr>
          <w:rFonts w:hint="eastAsia" w:ascii="仿宋" w:hAnsi="仿宋" w:eastAsia="仿宋" w:cs="楷体"/>
          <w:color w:val="000000"/>
          <w:sz w:val="30"/>
          <w:szCs w:val="30"/>
        </w:rPr>
        <w:t>1</w:t>
      </w:r>
      <w:r>
        <w:rPr>
          <w:rFonts w:ascii="仿宋" w:hAnsi="仿宋" w:eastAsia="仿宋" w:cs="楷体"/>
          <w:color w:val="000000"/>
          <w:sz w:val="30"/>
          <w:szCs w:val="30"/>
        </w:rPr>
        <w:t>.</w:t>
      </w:r>
      <w:r>
        <w:rPr>
          <w:rFonts w:hint="eastAsia" w:ascii="仿宋" w:hAnsi="仿宋" w:eastAsia="仿宋" w:cs="FZFSJW--GB1-0"/>
          <w:color w:val="000000"/>
          <w:kern w:val="0"/>
          <w:sz w:val="30"/>
          <w:szCs w:val="30"/>
        </w:rPr>
        <w:t>每个专业教学团队（或每门公共基础课程教学团队）限报</w:t>
      </w:r>
      <w:r>
        <w:rPr>
          <w:rFonts w:ascii="仿宋" w:hAnsi="仿宋" w:eastAsia="仿宋" w:cs="TimesNewRomanPSMT"/>
          <w:color w:val="000000"/>
          <w:kern w:val="0"/>
          <w:sz w:val="30"/>
          <w:szCs w:val="30"/>
        </w:rPr>
        <w:t>1</w:t>
      </w:r>
      <w:r>
        <w:rPr>
          <w:rFonts w:hint="eastAsia" w:ascii="仿宋" w:hAnsi="仿宋" w:eastAsia="仿宋" w:cs="FZFSJW--GB1-0"/>
          <w:color w:val="000000"/>
          <w:kern w:val="0"/>
          <w:sz w:val="30"/>
          <w:szCs w:val="30"/>
        </w:rPr>
        <w:t>件参赛作品，</w:t>
      </w:r>
      <w:r>
        <w:rPr>
          <w:rFonts w:hint="eastAsia" w:ascii="仿宋" w:hAnsi="仿宋" w:eastAsia="仿宋" w:cs="仿宋"/>
          <w:color w:val="000000"/>
          <w:sz w:val="30"/>
          <w:szCs w:val="30"/>
        </w:rPr>
        <w:t>每位教师限参加一个教学团队。</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sz w:val="30"/>
          <w:szCs w:val="30"/>
        </w:rPr>
      </w:pPr>
      <w:r>
        <w:rPr>
          <w:rFonts w:ascii="仿宋" w:hAnsi="仿宋" w:eastAsia="仿宋"/>
          <w:sz w:val="30"/>
          <w:szCs w:val="30"/>
        </w:rPr>
        <w:t>2.</w:t>
      </w:r>
      <w:r>
        <w:rPr>
          <w:rFonts w:hint="eastAsia" w:ascii="仿宋" w:hAnsi="仿宋" w:eastAsia="仿宋"/>
          <w:color w:val="000000"/>
          <w:sz w:val="30"/>
          <w:szCs w:val="30"/>
        </w:rPr>
        <w:t>每个教学团队由近3年实际承担参赛课程或相关课程教学（含实习指导）任务的教师组成，教学团队结构合理，具备高级专业技术职务或取得高级职业技能等级证书的教师不少于</w:t>
      </w:r>
      <w:r>
        <w:rPr>
          <w:rFonts w:ascii="仿宋" w:hAnsi="仿宋" w:eastAsia="仿宋"/>
          <w:color w:val="000000"/>
          <w:sz w:val="30"/>
          <w:szCs w:val="30"/>
        </w:rPr>
        <w:t>1</w:t>
      </w:r>
      <w:r>
        <w:rPr>
          <w:rFonts w:hint="eastAsia" w:ascii="仿宋" w:hAnsi="仿宋" w:eastAsia="仿宋"/>
          <w:color w:val="000000"/>
          <w:sz w:val="30"/>
          <w:szCs w:val="30"/>
        </w:rPr>
        <w:t>人；专业（技能）课程团队的“双师型”教师占比不低于50%；</w:t>
      </w:r>
      <w:r>
        <w:rPr>
          <w:rFonts w:hint="eastAsia" w:ascii="仿宋" w:hAnsi="仿宋" w:eastAsia="仿宋"/>
          <w:sz w:val="30"/>
          <w:szCs w:val="30"/>
        </w:rPr>
        <w:t>学校正式聘用的企业兼职教师可按要求参加专业（技能）课程的比赛。</w:t>
      </w:r>
    </w:p>
    <w:p>
      <w:pPr>
        <w:keepNext w:val="0"/>
        <w:keepLines w:val="0"/>
        <w:pageBreakBefore w:val="0"/>
        <w:widowControl w:val="0"/>
        <w:kinsoku/>
        <w:wordWrap/>
        <w:topLinePunct w:val="0"/>
        <w:autoSpaceDE w:val="0"/>
        <w:autoSpaceDN w:val="0"/>
        <w:bidi w:val="0"/>
        <w:adjustRightInd w:val="0"/>
        <w:spacing w:line="560" w:lineRule="exact"/>
        <w:ind w:firstLine="600" w:firstLineChars="200"/>
        <w:jc w:val="left"/>
        <w:textAlignment w:val="auto"/>
        <w:rPr>
          <w:rFonts w:ascii="仿宋" w:hAnsi="仿宋" w:eastAsia="仿宋"/>
          <w:color w:val="000000"/>
          <w:sz w:val="30"/>
          <w:szCs w:val="30"/>
        </w:rPr>
      </w:pPr>
      <w:r>
        <w:rPr>
          <w:rFonts w:hint="eastAsia" w:ascii="仿宋" w:hAnsi="仿宋" w:eastAsia="仿宋"/>
          <w:color w:val="000000"/>
          <w:sz w:val="30"/>
          <w:szCs w:val="30"/>
        </w:rPr>
        <w:t>3.鼓励国家级和省级职业教育教师教学创新团队、教学名师、教学成果奖主持人以及具有正高级专业技术职务的优秀教师报名参赛。各院部中至少有一个参赛教学团队的主要参与成员来自国家级或省级职业教育教师教学创新团队（如有特殊情况需做说明）。</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color w:val="000000"/>
          <w:sz w:val="30"/>
          <w:szCs w:val="30"/>
        </w:rPr>
      </w:pPr>
      <w:r>
        <w:rPr>
          <w:rFonts w:hint="eastAsia" w:ascii="仿宋" w:hAnsi="仿宋" w:eastAsia="仿宋"/>
          <w:sz w:val="30"/>
          <w:szCs w:val="30"/>
        </w:rPr>
        <w:t>4.可在校内跨院部联合组建教学团队参赛，以参赛团队第一名教师所在院部进行申报。</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color w:val="000000"/>
          <w:sz w:val="30"/>
          <w:szCs w:val="30"/>
        </w:rPr>
      </w:pPr>
      <w:r>
        <w:rPr>
          <w:rFonts w:ascii="仿宋" w:hAnsi="仿宋" w:eastAsia="仿宋"/>
          <w:color w:val="000000"/>
          <w:sz w:val="30"/>
          <w:szCs w:val="30"/>
        </w:rPr>
        <w:t>5.</w:t>
      </w:r>
      <w:r>
        <w:rPr>
          <w:rFonts w:hint="eastAsia" w:ascii="仿宋" w:hAnsi="仿宋" w:eastAsia="仿宋"/>
          <w:color w:val="000000"/>
          <w:sz w:val="30"/>
          <w:szCs w:val="30"/>
        </w:rPr>
        <w:t>连续两年获得校级教师教学能力比赛一等奖的教学团队和获得安徽省职业院校技能大赛教学能力比赛二等奖（含）以上的教学团队需要调整成员方能报名参赛（原</w:t>
      </w:r>
      <w:r>
        <w:rPr>
          <w:rFonts w:ascii="仿宋" w:hAnsi="仿宋" w:eastAsia="仿宋"/>
          <w:color w:val="000000"/>
          <w:sz w:val="30"/>
          <w:szCs w:val="30"/>
        </w:rPr>
        <w:t>4</w:t>
      </w:r>
      <w:r>
        <w:rPr>
          <w:rFonts w:hint="eastAsia" w:ascii="仿宋" w:hAnsi="仿宋" w:eastAsia="仿宋"/>
          <w:color w:val="000000"/>
          <w:sz w:val="30"/>
          <w:szCs w:val="30"/>
        </w:rPr>
        <w:t>人团队至少调整</w:t>
      </w:r>
      <w:r>
        <w:rPr>
          <w:rFonts w:ascii="仿宋" w:hAnsi="仿宋" w:eastAsia="仿宋"/>
          <w:color w:val="000000"/>
          <w:sz w:val="30"/>
          <w:szCs w:val="30"/>
        </w:rPr>
        <w:t>2</w:t>
      </w:r>
      <w:r>
        <w:rPr>
          <w:rFonts w:hint="eastAsia" w:ascii="仿宋" w:hAnsi="仿宋" w:eastAsia="仿宋"/>
          <w:color w:val="000000"/>
          <w:sz w:val="30"/>
          <w:szCs w:val="30"/>
        </w:rPr>
        <w:t>名成员；原</w:t>
      </w:r>
      <w:r>
        <w:rPr>
          <w:rFonts w:ascii="仿宋" w:hAnsi="仿宋" w:eastAsia="仿宋"/>
          <w:color w:val="000000"/>
          <w:sz w:val="30"/>
          <w:szCs w:val="30"/>
        </w:rPr>
        <w:t>3</w:t>
      </w:r>
      <w:r>
        <w:rPr>
          <w:rFonts w:hint="eastAsia" w:ascii="仿宋" w:hAnsi="仿宋" w:eastAsia="仿宋"/>
          <w:color w:val="000000"/>
          <w:sz w:val="30"/>
          <w:szCs w:val="30"/>
        </w:rPr>
        <w:t>人团队至少调整</w:t>
      </w:r>
      <w:r>
        <w:rPr>
          <w:rFonts w:ascii="仿宋" w:hAnsi="仿宋" w:eastAsia="仿宋"/>
          <w:color w:val="000000"/>
          <w:sz w:val="30"/>
          <w:szCs w:val="30"/>
        </w:rPr>
        <w:t>1</w:t>
      </w:r>
      <w:r>
        <w:rPr>
          <w:rFonts w:hint="eastAsia" w:ascii="仿宋" w:hAnsi="仿宋" w:eastAsia="仿宋"/>
          <w:color w:val="000000"/>
          <w:sz w:val="30"/>
          <w:szCs w:val="30"/>
        </w:rPr>
        <w:t>名成员）。</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sz w:val="30"/>
          <w:szCs w:val="30"/>
        </w:rPr>
      </w:pPr>
      <w:r>
        <w:rPr>
          <w:rFonts w:hint="eastAsia" w:ascii="仿宋" w:hAnsi="仿宋" w:eastAsia="仿宋"/>
          <w:sz w:val="30"/>
          <w:szCs w:val="30"/>
        </w:rPr>
        <w:t>6</w:t>
      </w:r>
      <w:r>
        <w:rPr>
          <w:rFonts w:ascii="仿宋" w:hAnsi="仿宋" w:eastAsia="仿宋"/>
          <w:sz w:val="30"/>
          <w:szCs w:val="30"/>
        </w:rPr>
        <w:t>.</w:t>
      </w:r>
      <w:r>
        <w:rPr>
          <w:rFonts w:hint="eastAsia" w:ascii="仿宋" w:hAnsi="仿宋" w:eastAsia="仿宋"/>
          <w:sz w:val="30"/>
          <w:szCs w:val="30"/>
        </w:rPr>
        <w:t>参赛作品应为原创，不得违反国家相关法律法规，不得侵犯他人知识产权，如引起知识产权异议或其他法律纠纷，责任自负。除教学团队事前特别声明外，学校拥有对参赛作品进行宣传、公益性共享的权利。</w:t>
      </w:r>
    </w:p>
    <w:p>
      <w:pPr>
        <w:keepNext w:val="0"/>
        <w:keepLines w:val="0"/>
        <w:pageBreakBefore w:val="0"/>
        <w:widowControl w:val="0"/>
        <w:kinsoku/>
        <w:wordWrap/>
        <w:overflowPunct w:val="0"/>
        <w:topLinePunct w:val="0"/>
        <w:bidi w:val="0"/>
        <w:spacing w:line="560" w:lineRule="exact"/>
        <w:ind w:firstLine="600" w:firstLineChars="200"/>
        <w:textAlignment w:val="auto"/>
        <w:rPr>
          <w:rFonts w:ascii="仿宋" w:hAnsi="仿宋" w:eastAsia="仿宋"/>
          <w:color w:val="000000"/>
          <w:sz w:val="30"/>
          <w:szCs w:val="30"/>
        </w:rPr>
      </w:pPr>
      <w:r>
        <w:rPr>
          <w:rFonts w:hint="eastAsia" w:ascii="仿宋" w:hAnsi="仿宋" w:eastAsia="仿宋"/>
          <w:sz w:val="30"/>
          <w:szCs w:val="30"/>
        </w:rPr>
        <w:t>7</w:t>
      </w:r>
      <w:r>
        <w:rPr>
          <w:rFonts w:ascii="仿宋" w:hAnsi="仿宋" w:eastAsia="仿宋"/>
          <w:sz w:val="30"/>
          <w:szCs w:val="30"/>
        </w:rPr>
        <w:t>.</w:t>
      </w:r>
      <w:r>
        <w:rPr>
          <w:rFonts w:hint="eastAsia" w:ascii="仿宋" w:hAnsi="仿宋" w:eastAsia="仿宋"/>
          <w:color w:val="000000"/>
          <w:sz w:val="30"/>
          <w:szCs w:val="30"/>
        </w:rPr>
        <w:t>被推荐参加省赛的团队，无故不许放弃省赛，否则在近三年内不能参加校、省同类比赛。</w:t>
      </w:r>
    </w:p>
    <w:p>
      <w:pPr>
        <w:keepNext w:val="0"/>
        <w:keepLines w:val="0"/>
        <w:pageBreakBefore w:val="0"/>
        <w:widowControl w:val="0"/>
        <w:kinsoku/>
        <w:wordWrap/>
        <w:topLinePunct w:val="0"/>
        <w:bidi w:val="0"/>
        <w:spacing w:line="560" w:lineRule="exact"/>
        <w:ind w:firstLine="588" w:firstLineChars="196"/>
        <w:textAlignment w:val="auto"/>
        <w:rPr>
          <w:rFonts w:ascii="仿宋" w:hAnsi="仿宋" w:eastAsia="仿宋" w:cs="黑体"/>
          <w:b/>
          <w:bCs/>
          <w:color w:val="000000"/>
          <w:sz w:val="30"/>
          <w:szCs w:val="30"/>
        </w:rPr>
      </w:pPr>
      <w:r>
        <w:rPr>
          <w:rFonts w:hint="eastAsia" w:ascii="黑体" w:hAnsi="黑体" w:eastAsia="黑体" w:cs="黑体"/>
          <w:sz w:val="30"/>
          <w:szCs w:val="30"/>
        </w:rPr>
        <w:t>七、报名及联系方式</w:t>
      </w:r>
    </w:p>
    <w:p>
      <w:pPr>
        <w:keepNext w:val="0"/>
        <w:keepLines w:val="0"/>
        <w:pageBreakBefore w:val="0"/>
        <w:widowControl w:val="0"/>
        <w:kinsoku/>
        <w:wordWrap/>
        <w:topLinePunct w:val="0"/>
        <w:bidi w:val="0"/>
        <w:spacing w:line="560" w:lineRule="exact"/>
        <w:ind w:firstLine="588" w:firstLineChars="196"/>
        <w:textAlignment w:val="auto"/>
        <w:rPr>
          <w:rFonts w:ascii="仿宋" w:hAnsi="仿宋" w:eastAsia="仿宋"/>
          <w:sz w:val="30"/>
          <w:szCs w:val="30"/>
        </w:rPr>
      </w:pPr>
      <w:r>
        <w:rPr>
          <w:rFonts w:hint="eastAsia" w:ascii="仿宋" w:hAnsi="仿宋" w:eastAsia="仿宋"/>
          <w:sz w:val="30"/>
          <w:szCs w:val="30"/>
        </w:rPr>
        <w:t>1.各院部要确定专人负责比赛组织工作，认真做好审核工作，核对参赛作品的真实性、准确性，如人才培养方案、课程开设、授课班级人数、教学团队成员身份、实际授课等情况；认真检查参赛作品材料是否泄露信息。如发现弄虚作假情况，将取消参赛教师（或团队）的参赛资格和成绩。各团队不得上传无重大修改的往届比赛材料，一经发现此类情况，取消比赛资格，并予以通报。</w:t>
      </w:r>
    </w:p>
    <w:p>
      <w:pPr>
        <w:keepNext w:val="0"/>
        <w:keepLines w:val="0"/>
        <w:pageBreakBefore w:val="0"/>
        <w:widowControl w:val="0"/>
        <w:kinsoku/>
        <w:wordWrap/>
        <w:topLinePunct w:val="0"/>
        <w:bidi w:val="0"/>
        <w:spacing w:line="560" w:lineRule="exact"/>
        <w:ind w:firstLine="588" w:firstLineChars="196"/>
        <w:textAlignment w:val="auto"/>
        <w:rPr>
          <w:rFonts w:ascii="仿宋" w:hAnsi="仿宋" w:eastAsia="仿宋"/>
          <w:color w:val="080808"/>
          <w:sz w:val="30"/>
          <w:szCs w:val="30"/>
        </w:rPr>
      </w:pPr>
      <w:r>
        <w:rPr>
          <w:rFonts w:hint="eastAsia" w:ascii="仿宋" w:hAnsi="仿宋" w:eastAsia="仿宋"/>
          <w:color w:val="000000"/>
          <w:sz w:val="30"/>
          <w:szCs w:val="30"/>
        </w:rPr>
        <w:t>2</w:t>
      </w:r>
      <w:r>
        <w:rPr>
          <w:rFonts w:ascii="仿宋" w:hAnsi="仿宋" w:eastAsia="仿宋"/>
          <w:color w:val="000000"/>
          <w:sz w:val="30"/>
          <w:szCs w:val="30"/>
        </w:rPr>
        <w:t>.</w:t>
      </w:r>
      <w:r>
        <w:rPr>
          <w:rFonts w:ascii="仿宋" w:hAnsi="仿宋" w:eastAsia="仿宋"/>
          <w:color w:val="080808"/>
          <w:sz w:val="30"/>
          <w:szCs w:val="30"/>
        </w:rPr>
        <w:t>参赛材料（不含视频）以及</w:t>
      </w:r>
      <w:r>
        <w:rPr>
          <w:rFonts w:hint="eastAsia" w:ascii="仿宋" w:hAnsi="仿宋" w:eastAsia="仿宋"/>
          <w:color w:val="080808"/>
          <w:sz w:val="30"/>
          <w:szCs w:val="30"/>
        </w:rPr>
        <w:t>参赛报名表、汇总表纸质版</w:t>
      </w:r>
      <w:r>
        <w:rPr>
          <w:rFonts w:ascii="仿宋" w:hAnsi="仿宋" w:eastAsia="仿宋"/>
          <w:color w:val="080808"/>
          <w:sz w:val="30"/>
          <w:szCs w:val="30"/>
        </w:rPr>
        <w:t>以院</w:t>
      </w:r>
      <w:r>
        <w:rPr>
          <w:rFonts w:hint="eastAsia" w:ascii="仿宋" w:hAnsi="仿宋" w:eastAsia="仿宋"/>
          <w:color w:val="080808"/>
          <w:sz w:val="30"/>
          <w:szCs w:val="30"/>
        </w:rPr>
        <w:t>部</w:t>
      </w:r>
      <w:r>
        <w:rPr>
          <w:rFonts w:ascii="仿宋" w:hAnsi="仿宋" w:eastAsia="仿宋"/>
          <w:color w:val="080808"/>
          <w:sz w:val="30"/>
          <w:szCs w:val="30"/>
        </w:rPr>
        <w:t>为单位统一进行报送，参赛作品材料电子版由参赛团队</w:t>
      </w:r>
      <w:r>
        <w:rPr>
          <w:rFonts w:hint="eastAsia" w:ascii="仿宋" w:hAnsi="仿宋" w:eastAsia="仿宋"/>
          <w:color w:val="080808"/>
          <w:sz w:val="30"/>
          <w:szCs w:val="30"/>
        </w:rPr>
        <w:t>上传至比赛平台，时间为2022年12</w:t>
      </w:r>
      <w:r>
        <w:rPr>
          <w:rFonts w:ascii="仿宋" w:hAnsi="仿宋" w:eastAsia="仿宋"/>
          <w:color w:val="080808"/>
          <w:sz w:val="30"/>
          <w:szCs w:val="30"/>
        </w:rPr>
        <w:t>月</w:t>
      </w:r>
      <w:r>
        <w:rPr>
          <w:rFonts w:hint="eastAsia" w:ascii="仿宋" w:hAnsi="仿宋" w:eastAsia="仿宋"/>
          <w:color w:val="080808"/>
          <w:sz w:val="30"/>
          <w:szCs w:val="30"/>
        </w:rPr>
        <w:t>25</w:t>
      </w:r>
      <w:r>
        <w:rPr>
          <w:rFonts w:ascii="仿宋" w:hAnsi="仿宋" w:eastAsia="仿宋"/>
          <w:color w:val="080808"/>
          <w:sz w:val="30"/>
          <w:szCs w:val="30"/>
        </w:rPr>
        <w:t>日前。</w:t>
      </w:r>
    </w:p>
    <w:p>
      <w:pPr>
        <w:keepNext w:val="0"/>
        <w:keepLines w:val="0"/>
        <w:pageBreakBefore w:val="0"/>
        <w:widowControl w:val="0"/>
        <w:kinsoku/>
        <w:wordWrap/>
        <w:topLinePunct w:val="0"/>
        <w:bidi w:val="0"/>
        <w:spacing w:line="560" w:lineRule="exact"/>
        <w:ind w:firstLine="588" w:firstLineChars="196"/>
        <w:textAlignment w:val="auto"/>
        <w:rPr>
          <w:rFonts w:ascii="仿宋" w:hAnsi="仿宋" w:eastAsia="仿宋"/>
          <w:color w:val="080808"/>
          <w:sz w:val="30"/>
          <w:szCs w:val="30"/>
        </w:rPr>
      </w:pPr>
      <w:r>
        <w:rPr>
          <w:rFonts w:hint="eastAsia" w:ascii="仿宋" w:hAnsi="仿宋" w:eastAsia="仿宋"/>
          <w:color w:val="000000"/>
          <w:sz w:val="30"/>
          <w:szCs w:val="30"/>
        </w:rPr>
        <w:t>3.技术</w:t>
      </w:r>
      <w:r>
        <w:rPr>
          <w:rFonts w:hint="eastAsia" w:ascii="仿宋" w:hAnsi="仿宋" w:eastAsia="仿宋"/>
          <w:color w:val="080808"/>
          <w:sz w:val="30"/>
          <w:szCs w:val="30"/>
        </w:rPr>
        <w:t>支持：本次教师教学能力比赛统一使用超星泛雅平台，由超星集团安徽分公司提供技术支持。</w:t>
      </w:r>
    </w:p>
    <w:p>
      <w:pPr>
        <w:spacing w:line="520" w:lineRule="exact"/>
        <w:ind w:firstLine="588" w:firstLineChars="196"/>
        <w:rPr>
          <w:rFonts w:ascii="仿宋" w:hAnsi="仿宋" w:eastAsia="仿宋"/>
          <w:color w:val="080808"/>
          <w:sz w:val="30"/>
          <w:szCs w:val="30"/>
        </w:rPr>
      </w:pPr>
    </w:p>
    <w:p>
      <w:r>
        <w:rPr>
          <w:rFonts w:ascii="仿宋" w:hAnsi="仿宋" w:eastAsia="仿宋" w:cs="黑体"/>
          <w:bCs/>
          <w:color w:val="000000"/>
          <w:sz w:val="32"/>
          <w:szCs w:val="32"/>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FZFSJW--GB1-0">
    <w:altName w:val="宋体"/>
    <w:panose1 w:val="00000000000000000000"/>
    <w:charset w:val="00"/>
    <w:family w:val="auto"/>
    <w:pitch w:val="default"/>
    <w:sig w:usb0="00000000" w:usb1="00000000" w:usb2="00000010" w:usb3="00000000" w:csb0="00040000" w:csb1="00000000"/>
  </w:font>
  <w:font w:name="TimesNewRomanPSMT">
    <w:altName w:val="宋体"/>
    <w:panose1 w:val="00000000000000000000"/>
    <w:charset w:val="00"/>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5NzE4N2Y5MGYwNjI0YTBlMjIxNTQ2ZGQ4M2ZmZDcifQ=="/>
  </w:docVars>
  <w:rsids>
    <w:rsidRoot w:val="553E7AA1"/>
    <w:rsid w:val="553E7A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3348</Words>
  <Characters>3419</Characters>
  <Lines>0</Lines>
  <Paragraphs>0</Paragraphs>
  <TotalTime>0</TotalTime>
  <ScaleCrop>false</ScaleCrop>
  <LinksUpToDate>false</LinksUpToDate>
  <CharactersWithSpaces>3420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2022-10-20T14:48:00Z</dcterms:created>
  <dc:creator>A弘之</dc:creator>
  <cp:lastModifiedBy>A弘之</cp:lastModifiedBy>
  <dcterms:modified xsi:type="dcterms:W3CDTF">2022-10-20T14:49:32Z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49C4FFDA975D49DD8DB6C231A4F1A596</vt:lpwstr>
  </property>
</Properties>
</file>